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E1" w:rsidRPr="00894DE1" w:rsidRDefault="00894DE1" w:rsidP="0089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94DE1" w:rsidRPr="00894DE1" w:rsidRDefault="00894DE1" w:rsidP="0089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«Экономический анализ»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894DE1">
        <w:rPr>
          <w:rFonts w:ascii="Times New Roman" w:hAnsi="Times New Roman" w:cs="Times New Roman"/>
          <w:sz w:val="28"/>
          <w:szCs w:val="28"/>
        </w:rPr>
        <w:t>: сформировать теоретические и практические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навыки по методике проведения экономического анализа, сформировать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знания и умения оценивать и интерпретировать показатели, используемые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экономическом анализе,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894DE1">
        <w:rPr>
          <w:rFonts w:ascii="Times New Roman" w:hAnsi="Times New Roman" w:cs="Times New Roman"/>
          <w:sz w:val="28"/>
          <w:szCs w:val="28"/>
        </w:rPr>
        <w:t xml:space="preserve"> сформировать профессиональное</w:t>
      </w:r>
    </w:p>
    <w:p w:rsid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E1" w:rsidRDefault="00894DE1" w:rsidP="00894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894DE1" w:rsidRPr="00894DE1" w:rsidRDefault="00894DE1" w:rsidP="00894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b/>
          <w:sz w:val="28"/>
          <w:szCs w:val="28"/>
        </w:rPr>
        <w:t>Краткое содержание дисциплины:</w:t>
      </w:r>
      <w:r w:rsidRPr="00894DE1">
        <w:rPr>
          <w:rFonts w:ascii="Times New Roman" w:hAnsi="Times New Roman" w:cs="Times New Roman"/>
          <w:sz w:val="28"/>
          <w:szCs w:val="28"/>
        </w:rPr>
        <w:t xml:space="preserve"> Теоретические основы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экономического анализа. Предмет и сущность экономического анализа,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типология видов анализа. Система показателей как основа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экономического анализа. Инструментарий экономического анализа.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Информационное обеспечение экономического анализа Раздел 2. Анализ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эффективности операционной деятельности экономического субъекта.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Анализ условий хозяйствования экономического субъекта и факторов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 xml:space="preserve">производства. CVP – анализ (анализ безубыточности). Анализ 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результатов и рентабельности продаж. Анализ финансового состояния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экономического субъекта. Методологическая основа анализа финансового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состояния экономического субъекта. Анализ ликвидности баланса и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платежеспособности организации. Анализ оборачиваемости активов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(деловой активности) организации. Анализ источников финансирования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</w:t>
      </w:r>
      <w:proofErr w:type="gramStart"/>
      <w:r w:rsidRPr="00894DE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94DE1">
        <w:rPr>
          <w:rFonts w:ascii="Times New Roman" w:hAnsi="Times New Roman" w:cs="Times New Roman"/>
          <w:sz w:val="28"/>
          <w:szCs w:val="28"/>
        </w:rPr>
        <w:t xml:space="preserve"> финансовой устойчивости. Комплексная</w:t>
      </w:r>
    </w:p>
    <w:p w:rsidR="00894DE1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оценка финансового состояния организации, оценки несостоятельности</w:t>
      </w:r>
    </w:p>
    <w:p w:rsidR="00923F55" w:rsidRPr="00894DE1" w:rsidRDefault="00894DE1" w:rsidP="00894DE1">
      <w:pPr>
        <w:rPr>
          <w:rFonts w:ascii="Times New Roman" w:hAnsi="Times New Roman" w:cs="Times New Roman"/>
          <w:sz w:val="28"/>
          <w:szCs w:val="28"/>
        </w:rPr>
      </w:pPr>
      <w:r w:rsidRPr="00894DE1">
        <w:rPr>
          <w:rFonts w:ascii="Times New Roman" w:hAnsi="Times New Roman" w:cs="Times New Roman"/>
          <w:sz w:val="28"/>
          <w:szCs w:val="28"/>
        </w:rPr>
        <w:t>(банкротства) организации</w:t>
      </w:r>
    </w:p>
    <w:sectPr w:rsidR="00923F55" w:rsidRPr="0089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F"/>
    <w:rsid w:val="005E0E1F"/>
    <w:rsid w:val="00894DE1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99689-88CA-4EC9-B665-52A373938787}"/>
</file>

<file path=customXml/itemProps2.xml><?xml version="1.0" encoding="utf-8"?>
<ds:datastoreItem xmlns:ds="http://schemas.openxmlformats.org/officeDocument/2006/customXml" ds:itemID="{AEFF6D7C-965A-4DE0-9081-9A979AC2BA3B}"/>
</file>

<file path=customXml/itemProps3.xml><?xml version="1.0" encoding="utf-8"?>
<ds:datastoreItem xmlns:ds="http://schemas.openxmlformats.org/officeDocument/2006/customXml" ds:itemID="{4668C604-8687-424D-9D96-52E247108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2021-04-22T10:55:00Z</dcterms:created>
  <dcterms:modified xsi:type="dcterms:W3CDTF">2021-04-22T10:56:00Z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